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94C" w:rsidRDefault="000E094C" w:rsidP="000E094C">
      <w:pPr>
        <w:contextualSpacing/>
      </w:pPr>
      <w:bookmarkStart w:id="0" w:name="_GoBack"/>
      <w:bookmarkEnd w:id="0"/>
    </w:p>
    <w:p w:rsidR="000E094C" w:rsidRDefault="000E094C" w:rsidP="000E094C">
      <w:pPr>
        <w:contextualSpacing/>
      </w:pPr>
    </w:p>
    <w:p w:rsidR="000E094C" w:rsidRDefault="000E094C" w:rsidP="000E094C">
      <w:pPr>
        <w:contextualSpacing/>
      </w:pPr>
    </w:p>
    <w:p w:rsidR="000E094C" w:rsidRDefault="000E094C" w:rsidP="000E094C">
      <w:pPr>
        <w:contextualSpacing/>
      </w:pPr>
    </w:p>
    <w:p w:rsidR="000E094C" w:rsidRDefault="000E094C" w:rsidP="000E094C">
      <w:pPr>
        <w:contextualSpacing/>
      </w:pPr>
    </w:p>
    <w:p w:rsidR="000E094C" w:rsidRDefault="000E094C" w:rsidP="000E094C">
      <w:pPr>
        <w:contextualSpacing/>
      </w:pPr>
    </w:p>
    <w:p w:rsidR="00821BBD" w:rsidRDefault="00821BBD" w:rsidP="000E094C">
      <w:pPr>
        <w:contextualSpacing/>
        <w:jc w:val="center"/>
      </w:pPr>
    </w:p>
    <w:p w:rsidR="00821BBD" w:rsidRDefault="00821BBD" w:rsidP="000E094C">
      <w:pPr>
        <w:contextualSpacing/>
        <w:jc w:val="center"/>
      </w:pPr>
    </w:p>
    <w:p w:rsidR="000E094C" w:rsidRDefault="000E094C" w:rsidP="000E094C">
      <w:pPr>
        <w:contextualSpacing/>
        <w:jc w:val="center"/>
      </w:pPr>
      <w:r>
        <w:t>Constitution and the Identity of Sophia the Robot</w:t>
      </w:r>
    </w:p>
    <w:p w:rsidR="004F2C49" w:rsidRDefault="000E094C" w:rsidP="000E094C">
      <w:pPr>
        <w:contextualSpacing/>
        <w:jc w:val="center"/>
      </w:pPr>
      <w:r>
        <w:t>Student Name</w:t>
      </w:r>
    </w:p>
    <w:p w:rsidR="000E094C" w:rsidRDefault="000E094C" w:rsidP="000E094C">
      <w:pPr>
        <w:contextualSpacing/>
        <w:jc w:val="center"/>
      </w:pPr>
      <w:r>
        <w:t>Affiliated Institution</w:t>
      </w:r>
    </w:p>
    <w:p w:rsidR="000E094C" w:rsidRDefault="000E094C" w:rsidP="000E094C">
      <w:pPr>
        <w:contextualSpacing/>
      </w:pPr>
    </w:p>
    <w:p w:rsidR="000E094C" w:rsidRDefault="000E094C" w:rsidP="000E094C">
      <w:pPr>
        <w:contextualSpacing/>
      </w:pPr>
    </w:p>
    <w:p w:rsidR="000E094C" w:rsidRDefault="000E094C" w:rsidP="000E094C">
      <w:pPr>
        <w:contextualSpacing/>
      </w:pPr>
    </w:p>
    <w:p w:rsidR="000E094C" w:rsidRDefault="000E094C"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0E094C" w:rsidRDefault="000E094C" w:rsidP="00821BBD">
      <w:pPr>
        <w:contextualSpacing/>
        <w:jc w:val="center"/>
      </w:pPr>
      <w:r>
        <w:lastRenderedPageBreak/>
        <w:t>Constitution and the Identity of Sophia the Robot</w:t>
      </w:r>
    </w:p>
    <w:p w:rsidR="000C32C9" w:rsidRDefault="001937EA" w:rsidP="000E094C">
      <w:pPr>
        <w:ind w:firstLine="720"/>
        <w:contextualSpacing/>
      </w:pPr>
      <w:r>
        <w:t xml:space="preserve">A recurrent question in the United States of America is the definition of citizenship. In </w:t>
      </w:r>
      <w:r w:rsidR="0073745A">
        <w:t xml:space="preserve">the </w:t>
      </w:r>
      <w:r>
        <w:t xml:space="preserve">years prior to the commencement of the Civil War, </w:t>
      </w:r>
      <w:r w:rsidR="00443F7C">
        <w:t>it was the opinion of the then Chief Justice</w:t>
      </w:r>
      <w:r w:rsidR="00DD7A33">
        <w:t>,</w:t>
      </w:r>
      <w:r w:rsidR="00443F7C">
        <w:t xml:space="preserve"> Roger Taney of the Supreme Court</w:t>
      </w:r>
      <w:r w:rsidR="00DD7A33">
        <w:t>,</w:t>
      </w:r>
      <w:r w:rsidR="007A58DB">
        <w:t xml:space="preserve"> in the landmark ruling of Scott v. Stanford, </w:t>
      </w:r>
      <w:r w:rsidR="00DD7A33">
        <w:t>that African-Americans were essentially not citizens of the United States</w:t>
      </w:r>
      <w:r w:rsidR="00AE4CBF">
        <w:t xml:space="preserve"> </w:t>
      </w:r>
      <w:r w:rsidR="00236D99" w:rsidRPr="00236D99">
        <w:t>("Fourteenth Amendment and Citizenship", 2018)</w:t>
      </w:r>
      <w:r w:rsidR="00DD7A33">
        <w:t xml:space="preserve">. </w:t>
      </w:r>
      <w:r w:rsidR="0051546B">
        <w:t xml:space="preserve">Following this conclusion, after the Civil War, congress promptly enacted pertinent procedures </w:t>
      </w:r>
      <w:r w:rsidR="00FB065D">
        <w:t xml:space="preserve">to address this unfair ruling. By 1866, a congress session </w:t>
      </w:r>
      <w:r w:rsidR="00E47C42">
        <w:t>decided and enacted a ruling that vetoed President Andrew Johnson’s stance; consequently, bringing about the Civil Rights Ac</w:t>
      </w:r>
      <w:r w:rsidR="00755D6D">
        <w:t>t as exhibit</w:t>
      </w:r>
      <w:r w:rsidR="005008AB">
        <w:t xml:space="preserve">ed in the thirty-ninth congress, </w:t>
      </w:r>
      <w:r w:rsidR="00755D6D">
        <w:t xml:space="preserve">session one, chapter 31 </w:t>
      </w:r>
      <w:r w:rsidR="00201419" w:rsidRPr="00201419">
        <w:t>(</w:t>
      </w:r>
      <w:r w:rsidR="00201419" w:rsidRPr="00201419">
        <w:rPr>
          <w:i/>
          <w:iCs/>
        </w:rPr>
        <w:t>The Civil Rights Act</w:t>
      </w:r>
      <w:r w:rsidR="00201419" w:rsidRPr="00201419">
        <w:t>, 1867)</w:t>
      </w:r>
      <w:r w:rsidR="005008AB">
        <w:t xml:space="preserve">. This momentous legislation provided the most compelling definition of citizenship. </w:t>
      </w:r>
      <w:r w:rsidR="00265B92">
        <w:t xml:space="preserve">However, due to concerns of repeal in relation to the Civil Rights Movement, </w:t>
      </w:r>
      <w:r w:rsidR="007267C2">
        <w:t xml:space="preserve">Congress took necessary steps for the inclusion of </w:t>
      </w:r>
      <w:r w:rsidR="00227EFE">
        <w:t xml:space="preserve">a common language during the consideration of the Fourteenth Amendment. Commensurately, as defined by the first </w:t>
      </w:r>
      <w:r w:rsidR="00CF6883">
        <w:t xml:space="preserve">clause of the first </w:t>
      </w:r>
      <w:r w:rsidR="00227EFE">
        <w:t>section of the Fourteenth Amendment</w:t>
      </w:r>
      <w:r w:rsidR="00CF6883">
        <w:t>, citizenship refers to all persons naturalized or born within the borders of the United States, and are therefore subjected to the pertinent ju</w:t>
      </w:r>
      <w:r w:rsidR="004F72D9">
        <w:t xml:space="preserve">risdictions thereof, are a part of the state where they reside, and part of the United States as a whole. </w:t>
      </w:r>
    </w:p>
    <w:p w:rsidR="004F72D9" w:rsidRDefault="008E15D4" w:rsidP="000E094C">
      <w:pPr>
        <w:contextualSpacing/>
      </w:pPr>
      <w:r>
        <w:tab/>
        <w:t xml:space="preserve">From the perspective of history instructors, </w:t>
      </w:r>
      <w:r w:rsidR="006107C9">
        <w:t xml:space="preserve">the concept and understanding of citizenship materialized during the great American </w:t>
      </w:r>
      <w:r w:rsidR="00DB7E41">
        <w:t>Revolution</w:t>
      </w:r>
      <w:r w:rsidR="006107C9">
        <w:t xml:space="preserve"> and promptly adjusted to </w:t>
      </w:r>
      <w:r w:rsidR="005E164D">
        <w:t xml:space="preserve">pertinent circumstances, subsequently, </w:t>
      </w:r>
      <w:r w:rsidR="00DB7E41">
        <w:t>heralding ethical diversity within the then federal republic</w:t>
      </w:r>
      <w:r w:rsidR="00982592">
        <w:t xml:space="preserve">. </w:t>
      </w:r>
      <w:r w:rsidR="005E164D">
        <w:t>Articulated</w:t>
      </w:r>
      <w:r w:rsidR="00982592">
        <w:t xml:space="preserve"> </w:t>
      </w:r>
      <w:r w:rsidR="005E164D">
        <w:t>most commandingly by Sir Edw</w:t>
      </w:r>
      <w:r w:rsidR="00A81D79">
        <w:t xml:space="preserve">ard Coke in 1608, the law of England held the </w:t>
      </w:r>
      <w:proofErr w:type="spellStart"/>
      <w:r w:rsidR="00A81D79">
        <w:t>posit</w:t>
      </w:r>
      <w:proofErr w:type="spellEnd"/>
      <w:r w:rsidR="00A81D79">
        <w:t xml:space="preserve"> that </w:t>
      </w:r>
      <w:r w:rsidR="00511883">
        <w:t>the status of natural subjects should represent an immutable relationship of both protection and allegiance between subject and king, much like the relationship of a parent and child</w:t>
      </w:r>
      <w:r w:rsidR="0013519F">
        <w:t xml:space="preserve"> </w:t>
      </w:r>
      <w:r w:rsidR="0013519F" w:rsidRPr="0013519F">
        <w:t>("Citizenship (Historical Development)", 2018)</w:t>
      </w:r>
      <w:r w:rsidR="00511883">
        <w:t xml:space="preserve">. Consequently, all persons born within the </w:t>
      </w:r>
      <w:r w:rsidR="00511883">
        <w:lastRenderedPageBreak/>
        <w:t xml:space="preserve">King’s allegiance </w:t>
      </w:r>
      <w:r w:rsidR="00561C7E">
        <w:t xml:space="preserve">attained citizenship status by birth. During </w:t>
      </w:r>
      <w:r w:rsidR="00141E7F">
        <w:t>these times</w:t>
      </w:r>
      <w:r w:rsidR="00561C7E">
        <w:t xml:space="preserve">, naturalization or conquest ultimately extended the status of </w:t>
      </w:r>
      <w:r w:rsidR="00141E7F">
        <w:t>foreign-born</w:t>
      </w:r>
      <w:r w:rsidR="00561C7E">
        <w:t xml:space="preserve"> subjects. </w:t>
      </w:r>
      <w:r w:rsidR="00141E7F">
        <w:t>However, subjects espoused</w:t>
      </w:r>
      <w:r w:rsidR="002710F0">
        <w:t xml:space="preserve"> with such methodologies were legally considered attached to </w:t>
      </w:r>
      <w:r w:rsidR="00833DCD">
        <w:t>similar perpetual allegiances as those born natively. Commensurately, doctrine</w:t>
      </w:r>
      <w:r w:rsidR="00423DFF">
        <w:t>s</w:t>
      </w:r>
      <w:r w:rsidR="00833DCD">
        <w:t xml:space="preserve"> reflected in the phrase, “once a subject, always a subject” </w:t>
      </w:r>
      <w:r w:rsidR="00423DFF">
        <w:t xml:space="preserve">were analogous to Coke’s ultimate emphasis on the ordinary </w:t>
      </w:r>
      <w:r w:rsidR="00EC6A47">
        <w:t>origins of the subject-king relationship and contrasted against emerging concepts relating to voluntary expatriation and membership</w:t>
      </w:r>
    </w:p>
    <w:p w:rsidR="00EC6A47" w:rsidRDefault="007366C6" w:rsidP="000E094C">
      <w:pPr>
        <w:contextualSpacing/>
      </w:pPr>
      <w:r>
        <w:tab/>
        <w:t>Onwards, from initial introductions</w:t>
      </w:r>
      <w:r w:rsidR="005818B2">
        <w:t xml:space="preserve"> of</w:t>
      </w:r>
      <w:r>
        <w:t xml:space="preserve"> </w:t>
      </w:r>
      <w:r w:rsidR="00505F97">
        <w:t xml:space="preserve">the concept of citizenship, the appearance of novel social impacts </w:t>
      </w:r>
      <w:r w:rsidR="005818B2">
        <w:t>revised</w:t>
      </w:r>
      <w:r w:rsidR="00505F97">
        <w:t xml:space="preserve"> </w:t>
      </w:r>
      <w:r w:rsidR="005818B2">
        <w:t>traditional concepts, however, not</w:t>
      </w:r>
      <w:r w:rsidR="00505F97">
        <w:t xml:space="preserve"> entirely</w:t>
      </w:r>
      <w:r w:rsidR="005818B2">
        <w:t xml:space="preserve">. </w:t>
      </w:r>
      <w:r w:rsidR="00B72813">
        <w:t xml:space="preserve">By the mid-eighteenth century, </w:t>
      </w:r>
      <w:r w:rsidR="005855B8">
        <w:t>theorists had the understanding that indivi</w:t>
      </w:r>
      <w:r w:rsidR="00F80905">
        <w:t xml:space="preserve">dual subjects were bound by </w:t>
      </w:r>
      <w:proofErr w:type="gramStart"/>
      <w:r w:rsidR="00F80905">
        <w:t>an owe</w:t>
      </w:r>
      <w:proofErr w:type="gramEnd"/>
      <w:r w:rsidR="00F80905">
        <w:t xml:space="preserve"> of allegiance </w:t>
      </w:r>
      <w:r w:rsidR="00AC03B3">
        <w:t>to a g</w:t>
      </w:r>
      <w:r w:rsidR="00736BCE">
        <w:t>overnment established through the majority</w:t>
      </w:r>
      <w:r w:rsidR="002840B1">
        <w:t xml:space="preserve"> </w:t>
      </w:r>
      <w:r w:rsidR="002840B1" w:rsidRPr="002840B1">
        <w:t>(Connor &amp; Hammons, 2008)</w:t>
      </w:r>
      <w:r w:rsidR="00736BCE">
        <w:t xml:space="preserve">. </w:t>
      </w:r>
      <w:r w:rsidR="00415265">
        <w:t>Consequently, barring the immed</w:t>
      </w:r>
      <w:r w:rsidR="00B02B11">
        <w:t>iate dissolution of society or the consent of the majority, articulated through parliament, subjects still held to an allegiance that was perpetual in nature. As time went by, colonial conditions terminated such ideas through perti</w:t>
      </w:r>
      <w:r w:rsidR="003C238A">
        <w:t xml:space="preserve">nent policies of naturalization, thereby, resulting in a subtle transformation of inherited attitudes. </w:t>
      </w:r>
      <w:r w:rsidR="00C4699D">
        <w:t xml:space="preserve">This phenomenon transpired while provisional governments encouraged </w:t>
      </w:r>
      <w:r w:rsidR="002B5867">
        <w:t xml:space="preserve">foreign-born settlers in order to promote economic prosperity and physical security. </w:t>
      </w:r>
      <w:r w:rsidR="003F0703">
        <w:t>Older notions of perpetual allegiance thus altered</w:t>
      </w:r>
      <w:r w:rsidR="00AE756B">
        <w:t xml:space="preserve">; subsequently, paving way to </w:t>
      </w:r>
      <w:r w:rsidR="002F25BC">
        <w:t>the</w:t>
      </w:r>
      <w:r w:rsidR="00CD24EC">
        <w:t xml:space="preserve"> contractual and consent-based aspects of citizenship</w:t>
      </w:r>
    </w:p>
    <w:p w:rsidR="00D13A6F" w:rsidRDefault="00D13A6F" w:rsidP="000E094C">
      <w:pPr>
        <w:contextualSpacing/>
      </w:pPr>
      <w:r>
        <w:tab/>
        <w:t xml:space="preserve">In America, the concept of citizenship </w:t>
      </w:r>
      <w:r w:rsidR="00B57F07">
        <w:t xml:space="preserve">relied on the traditional linkages of allegiance and protection after its independence in 1776 </w:t>
      </w:r>
      <w:r w:rsidR="00F010A1" w:rsidRPr="00F010A1">
        <w:t>(Banks, 2017)</w:t>
      </w:r>
      <w:r w:rsidR="00B57F07">
        <w:t xml:space="preserve">. By June 24 of the same year, </w:t>
      </w:r>
      <w:r w:rsidR="004516B8">
        <w:t>Congress declared a res</w:t>
      </w:r>
      <w:r w:rsidR="003A41CC">
        <w:t>olution that all persons within the colonies and deriving protection laws from it should owe their allegiance to the colonies themselves</w:t>
      </w:r>
      <w:r w:rsidR="00883EAC">
        <w:t xml:space="preserve"> </w:t>
      </w:r>
      <w:r w:rsidR="00883EAC" w:rsidRPr="00883EAC">
        <w:t>("Citizenship (Historical Development)", 2018)</w:t>
      </w:r>
      <w:r w:rsidR="003A41CC">
        <w:t xml:space="preserve">. As such, </w:t>
      </w:r>
      <w:r w:rsidR="009C45AD">
        <w:t xml:space="preserve">the implementation of citizenship in this aspect entailed the </w:t>
      </w:r>
      <w:proofErr w:type="spellStart"/>
      <w:r w:rsidR="009C45AD">
        <w:t>lockean</w:t>
      </w:r>
      <w:proofErr w:type="spellEnd"/>
      <w:r w:rsidR="009C45AD">
        <w:t xml:space="preserve"> theory, </w:t>
      </w:r>
      <w:r w:rsidR="009C45AD">
        <w:lastRenderedPageBreak/>
        <w:t xml:space="preserve">which became useful at the time. The theory suggested that </w:t>
      </w:r>
      <w:r w:rsidR="00246303">
        <w:t xml:space="preserve">if each colony had the consideration of being </w:t>
      </w:r>
      <w:r w:rsidR="00635F41">
        <w:t xml:space="preserve">a separate society, through the alteration of its form of government, </w:t>
      </w:r>
      <w:r w:rsidR="00BB6409">
        <w:t>then minorities were still under the will of patriot majorities. However, this resolution collided with the inherent and</w:t>
      </w:r>
      <w:r w:rsidR="00DF522F">
        <w:t xml:space="preserve"> fundamental right of freedom as opposed to forced allegiance. This disposition brought about the gradual reformulation of citizenship theories </w:t>
      </w:r>
      <w:r w:rsidR="00BB5710">
        <w:t xml:space="preserve">stressing that allegiance in any state should be volitional in nature. </w:t>
      </w:r>
      <w:r w:rsidR="00ED6749">
        <w:t>Thus, as history evolved, the revolutionary idea underpinning citizenship to consent transferred to the idea of expatriation</w:t>
      </w:r>
      <w:r w:rsidR="005435C5">
        <w:t xml:space="preserve">; ultimately, making citizenship </w:t>
      </w:r>
      <w:r w:rsidR="00A5340F">
        <w:t>a</w:t>
      </w:r>
      <w:r w:rsidR="005435C5">
        <w:t xml:space="preserve"> product of </w:t>
      </w:r>
      <w:r w:rsidR="00A5340F">
        <w:t>consent</w:t>
      </w:r>
      <w:r w:rsidR="005435C5">
        <w:t xml:space="preserve">. </w:t>
      </w:r>
    </w:p>
    <w:p w:rsidR="00220DA8" w:rsidRDefault="005435C5" w:rsidP="000E094C">
      <w:pPr>
        <w:contextualSpacing/>
      </w:pPr>
      <w:r>
        <w:tab/>
        <w:t xml:space="preserve">As stated above, </w:t>
      </w:r>
      <w:r w:rsidR="00A5340F">
        <w:t xml:space="preserve">in America, the fourteenth amendment defines </w:t>
      </w:r>
      <w:r w:rsidR="0016617E">
        <w:t xml:space="preserve">citizenship as being a product of either birth or naturalization within its jurisdiction of influence. In Saudi Arabia, the Saudi nationality law, also known as the Saudi Arabian citizenship system refers to the law that determines </w:t>
      </w:r>
      <w:r w:rsidR="008A5B12">
        <w:t>citizenship, in which foreigners are rarely issued citizenship</w:t>
      </w:r>
      <w:r w:rsidR="00F464E1">
        <w:t xml:space="preserve"> </w:t>
      </w:r>
      <w:r w:rsidR="00F464E1" w:rsidRPr="00F464E1">
        <w:t>(Meijer, 2016)</w:t>
      </w:r>
      <w:r w:rsidR="008A5B12">
        <w:t xml:space="preserve">. </w:t>
      </w:r>
      <w:r w:rsidR="00756AA2">
        <w:t xml:space="preserve">In contrast to the citizenship of America, Saudi citizenship </w:t>
      </w:r>
      <w:r w:rsidR="006D236D">
        <w:t xml:space="preserve">is highly regulated, subsequently </w:t>
      </w:r>
      <w:r w:rsidR="00B3762C">
        <w:t>restrict</w:t>
      </w:r>
      <w:r w:rsidR="006D236D">
        <w:t>ing</w:t>
      </w:r>
      <w:r w:rsidR="00B3762C">
        <w:t xml:space="preserve"> e</w:t>
      </w:r>
      <w:r w:rsidR="006D236D">
        <w:t xml:space="preserve">ntrants like Sophia the robot. The most common ways of attaining citizenship are through birth, marriage, descent, </w:t>
      </w:r>
      <w:r w:rsidR="00497582">
        <w:t xml:space="preserve">or naturalization. Moreover, children born to foreigners within the country are </w:t>
      </w:r>
      <w:r w:rsidR="00523283">
        <w:t>not allowed citizenship but may attain nationality if they have a Saudi father</w:t>
      </w:r>
      <w:r w:rsidR="007F01E2">
        <w:t xml:space="preserve"> </w:t>
      </w:r>
      <w:r w:rsidR="007F01E2" w:rsidRPr="007F01E2">
        <w:t>("How difficult is it to become a citizen of Saudi Arabia?” 2018)</w:t>
      </w:r>
      <w:r w:rsidR="00523283">
        <w:t xml:space="preserve">. </w:t>
      </w:r>
      <w:proofErr w:type="gramStart"/>
      <w:r w:rsidR="00523283">
        <w:t>Such</w:t>
      </w:r>
      <w:proofErr w:type="gramEnd"/>
      <w:r w:rsidR="00523283">
        <w:t xml:space="preserve"> laws and restrictions to citizenship within the country make it hard for individual</w:t>
      </w:r>
      <w:r w:rsidR="00220DA8">
        <w:t xml:space="preserve">s to make a living let alone living in harmony with the </w:t>
      </w:r>
      <w:r w:rsidR="00262754">
        <w:t>society. Contrariwise,</w:t>
      </w:r>
      <w:r w:rsidR="00D81EE9">
        <w:t xml:space="preserve"> one becomes a British citizen if they were born in the UK or a British colony before the January</w:t>
      </w:r>
      <w:r w:rsidR="00F85E17">
        <w:t xml:space="preserve"> 1 1983</w:t>
      </w:r>
      <w:r w:rsidR="00F464E1">
        <w:t xml:space="preserve"> </w:t>
      </w:r>
      <w:r w:rsidR="00F464E1" w:rsidRPr="00F464E1">
        <w:t>("Types of British nationality: British citizenship", 2018)</w:t>
      </w:r>
      <w:r w:rsidR="00F85E17">
        <w:t>. Citizenship in this country also includes persons born in the UK, those naturalized within the country, those registered as citizen</w:t>
      </w:r>
      <w:r w:rsidR="00905DE9">
        <w:t xml:space="preserve">s of UK and its colonies (CUKC), and </w:t>
      </w:r>
      <w:r w:rsidR="00905DE9">
        <w:lastRenderedPageBreak/>
        <w:t xml:space="preserve">those who prove legitimate descent from a father to whom the aforementioned applies </w:t>
      </w:r>
      <w:r w:rsidR="00E15403" w:rsidRPr="00E15403">
        <w:t>(</w:t>
      </w:r>
      <w:proofErr w:type="spellStart"/>
      <w:r w:rsidR="00E15403" w:rsidRPr="00E15403">
        <w:t>Morrice</w:t>
      </w:r>
      <w:proofErr w:type="spellEnd"/>
      <w:r w:rsidR="00E15403" w:rsidRPr="00E15403">
        <w:t>, 2016)</w:t>
      </w:r>
      <w:r w:rsidR="00905DE9">
        <w:t xml:space="preserve">. </w:t>
      </w:r>
    </w:p>
    <w:p w:rsidR="00846655" w:rsidRDefault="00846655" w:rsidP="000E094C">
      <w:pPr>
        <w:contextualSpacing/>
      </w:pPr>
      <w:r>
        <w:tab/>
        <w:t>In conclusion, therefore, the constitution accords various methodologies of becoming a citizen within a particular territory</w:t>
      </w:r>
      <w:r w:rsidR="004C7F80">
        <w:t xml:space="preserve"> </w:t>
      </w:r>
      <w:r w:rsidR="004C7F80" w:rsidRPr="004C7F80">
        <w:t>("Constitutional Topic: Citizenship", 2018)</w:t>
      </w:r>
      <w:r>
        <w:t>. While mos</w:t>
      </w:r>
      <w:r w:rsidR="00D4087C">
        <w:t xml:space="preserve">t legislations accord meaningful consent to the right of citizenship, attaining its status comes with other by-laws and conditions. For Sophia the robot, it would be hard and highly unlikely </w:t>
      </w:r>
      <w:r w:rsidR="000D54A4">
        <w:t>for her to attain Saudi citizenship owing to its numerous restrictions. However, the U. S. and U. K might accommodate her through options su</w:t>
      </w:r>
      <w:r w:rsidR="008E5978">
        <w:t>ch as naturalization or birth (in Sophia’s case, manufacture).</w:t>
      </w:r>
    </w:p>
    <w:p w:rsidR="004F2C49" w:rsidRDefault="004F2C49" w:rsidP="000E094C">
      <w:pPr>
        <w:contextualSpacing/>
      </w:pPr>
    </w:p>
    <w:p w:rsidR="004F2C49" w:rsidRDefault="004F2C49" w:rsidP="000E094C">
      <w:pPr>
        <w:contextualSpacing/>
      </w:pPr>
    </w:p>
    <w:p w:rsidR="004F2C49" w:rsidRDefault="004F2C49" w:rsidP="000E094C">
      <w:pPr>
        <w:contextualSpacing/>
      </w:pPr>
    </w:p>
    <w:p w:rsidR="004F2C49" w:rsidRDefault="004F2C49" w:rsidP="000E094C">
      <w:pPr>
        <w:contextualSpacing/>
      </w:pPr>
    </w:p>
    <w:p w:rsidR="004F2C49" w:rsidRDefault="004F2C49" w:rsidP="000E094C">
      <w:pPr>
        <w:contextualSpacing/>
      </w:pPr>
    </w:p>
    <w:p w:rsidR="004F2C49" w:rsidRDefault="004F2C49" w:rsidP="000E094C">
      <w:pPr>
        <w:contextualSpacing/>
      </w:pPr>
    </w:p>
    <w:p w:rsidR="004F2C49" w:rsidRDefault="004F2C49" w:rsidP="000E094C">
      <w:pPr>
        <w:contextualSpacing/>
      </w:pPr>
    </w:p>
    <w:p w:rsidR="004F2C49" w:rsidRDefault="004F2C49"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821BBD" w:rsidRDefault="00821BBD" w:rsidP="000E094C">
      <w:pPr>
        <w:contextualSpacing/>
      </w:pPr>
    </w:p>
    <w:p w:rsidR="004C7F80" w:rsidRDefault="004C7F80" w:rsidP="00821BBD">
      <w:pPr>
        <w:contextualSpacing/>
        <w:jc w:val="center"/>
      </w:pPr>
      <w:r>
        <w:lastRenderedPageBreak/>
        <w:t>References</w:t>
      </w:r>
    </w:p>
    <w:p w:rsidR="00485F4D" w:rsidRDefault="00485F4D" w:rsidP="00821BBD">
      <w:pPr>
        <w:ind w:left="720" w:hanging="720"/>
        <w:contextualSpacing/>
      </w:pPr>
      <w:r w:rsidRPr="00485F4D">
        <w:t>Banks, J. (2017). Failed Citizenship and Transformative Civic Education. </w:t>
      </w:r>
      <w:r w:rsidRPr="00485F4D">
        <w:rPr>
          <w:i/>
          <w:iCs/>
        </w:rPr>
        <w:t>Educational Researcher</w:t>
      </w:r>
      <w:r w:rsidRPr="00485F4D">
        <w:t>, </w:t>
      </w:r>
      <w:r w:rsidRPr="00485F4D">
        <w:rPr>
          <w:i/>
          <w:iCs/>
        </w:rPr>
        <w:t>46</w:t>
      </w:r>
      <w:r w:rsidRPr="00485F4D">
        <w:t xml:space="preserve">(7), 366-377. </w:t>
      </w:r>
      <w:hyperlink r:id="rId6" w:history="1">
        <w:r w:rsidRPr="009711A9">
          <w:rPr>
            <w:rStyle w:val="Hyperlink"/>
          </w:rPr>
          <w:t>http://dx.doi.org/10.3102/0013189x17726741</w:t>
        </w:r>
      </w:hyperlink>
    </w:p>
    <w:p w:rsidR="004F2C49" w:rsidRDefault="004F2C49" w:rsidP="00821BBD">
      <w:pPr>
        <w:ind w:left="720" w:hanging="720"/>
        <w:contextualSpacing/>
      </w:pPr>
      <w:r w:rsidRPr="004C7F80">
        <w:rPr>
          <w:i/>
          <w:iCs/>
        </w:rPr>
        <w:t>Citizenship (Historical Development)</w:t>
      </w:r>
      <w:r w:rsidRPr="004C7F80">
        <w:t>. (2018). </w:t>
      </w:r>
      <w:r w:rsidRPr="004C7F80">
        <w:rPr>
          <w:i/>
          <w:iCs/>
        </w:rPr>
        <w:t>Encyclopedia.com</w:t>
      </w:r>
      <w:r w:rsidRPr="004C7F80">
        <w:t xml:space="preserve">. Retrieved 21 April 2018, from </w:t>
      </w:r>
      <w:hyperlink r:id="rId7" w:history="1">
        <w:r w:rsidRPr="009711A9">
          <w:rPr>
            <w:rStyle w:val="Hyperlink"/>
          </w:rPr>
          <w:t>https://www.encyclopedia.com/politics/encyclopedias-almanacs-transcripts-and-maps/citizenship-historical-development</w:t>
        </w:r>
      </w:hyperlink>
    </w:p>
    <w:p w:rsidR="00485F4D" w:rsidRDefault="00485F4D" w:rsidP="00821BBD">
      <w:pPr>
        <w:ind w:left="720" w:hanging="720"/>
        <w:contextualSpacing/>
      </w:pPr>
      <w:r w:rsidRPr="00485F4D">
        <w:t>Connor, G., &amp; Hammons, C. (2008). </w:t>
      </w:r>
      <w:r w:rsidRPr="00485F4D">
        <w:rPr>
          <w:i/>
          <w:iCs/>
        </w:rPr>
        <w:t>The constitutionalism of American states</w:t>
      </w:r>
      <w:r w:rsidRPr="00485F4D">
        <w:t>. Columbia: University of Missouri Press.</w:t>
      </w:r>
    </w:p>
    <w:p w:rsidR="004F2C49" w:rsidRDefault="004F2C49" w:rsidP="00821BBD">
      <w:pPr>
        <w:ind w:left="720" w:hanging="720"/>
        <w:contextualSpacing/>
      </w:pPr>
      <w:r w:rsidRPr="004F2C49">
        <w:rPr>
          <w:i/>
          <w:iCs/>
        </w:rPr>
        <w:t>Constitutional Topic: Citizenship</w:t>
      </w:r>
      <w:r w:rsidRPr="004F2C49">
        <w:t>. (2018). </w:t>
      </w:r>
      <w:r w:rsidRPr="004F2C49">
        <w:rPr>
          <w:i/>
          <w:iCs/>
        </w:rPr>
        <w:t>Usconstitution.net</w:t>
      </w:r>
      <w:r w:rsidRPr="004F2C49">
        <w:t>. Retrieved 21 April 2018, from https://www.usconstitution.net/consttop_citi.html</w:t>
      </w:r>
    </w:p>
    <w:p w:rsidR="004C7F80" w:rsidRDefault="004C7F80" w:rsidP="00821BBD">
      <w:pPr>
        <w:ind w:left="720" w:hanging="720"/>
        <w:contextualSpacing/>
      </w:pPr>
      <w:r w:rsidRPr="004C7F80">
        <w:rPr>
          <w:i/>
          <w:iCs/>
        </w:rPr>
        <w:t>Fourteenth Amendment and Citizenship</w:t>
      </w:r>
      <w:r w:rsidRPr="004C7F80">
        <w:t>. (2018). </w:t>
      </w:r>
      <w:r w:rsidRPr="004C7F80">
        <w:rPr>
          <w:i/>
          <w:iCs/>
        </w:rPr>
        <w:t>Loc.gov</w:t>
      </w:r>
      <w:r w:rsidRPr="004C7F80">
        <w:t xml:space="preserve">. Retrieved 21 April 2018, from </w:t>
      </w:r>
      <w:hyperlink r:id="rId8" w:history="1">
        <w:r w:rsidRPr="009711A9">
          <w:rPr>
            <w:rStyle w:val="Hyperlink"/>
          </w:rPr>
          <w:t>https://www.loc.gov/law/help/citizenship/fourteenth_amendment_citizenship.php</w:t>
        </w:r>
      </w:hyperlink>
    </w:p>
    <w:p w:rsidR="004F2C49" w:rsidRDefault="004F2C49" w:rsidP="00821BBD">
      <w:pPr>
        <w:ind w:left="720" w:hanging="720"/>
        <w:contextualSpacing/>
      </w:pPr>
      <w:r w:rsidRPr="004F2C49">
        <w:rPr>
          <w:i/>
          <w:iCs/>
        </w:rPr>
        <w:t>How difficult is it to become a citizen of Saudi Arabia</w:t>
      </w:r>
      <w:proofErr w:type="gramStart"/>
      <w:r w:rsidRPr="004F2C49">
        <w:rPr>
          <w:i/>
          <w:iCs/>
        </w:rPr>
        <w:t>?</w:t>
      </w:r>
      <w:r w:rsidRPr="004F2C49">
        <w:t>.</w:t>
      </w:r>
      <w:proofErr w:type="gramEnd"/>
      <w:r w:rsidRPr="004F2C49">
        <w:t xml:space="preserve"> (2018). </w:t>
      </w:r>
      <w:proofErr w:type="spellStart"/>
      <w:r w:rsidRPr="004F2C49">
        <w:rPr>
          <w:i/>
          <w:iCs/>
        </w:rPr>
        <w:t>Quora</w:t>
      </w:r>
      <w:proofErr w:type="spellEnd"/>
      <w:r w:rsidRPr="004F2C49">
        <w:t xml:space="preserve">. Retrieved 21 April 2018, from </w:t>
      </w:r>
      <w:hyperlink r:id="rId9" w:history="1">
        <w:r w:rsidRPr="009711A9">
          <w:rPr>
            <w:rStyle w:val="Hyperlink"/>
          </w:rPr>
          <w:t>https://www.quora.com/How-difficult-is-it-to-become-a-citizen-of-Saudi-Arabia</w:t>
        </w:r>
      </w:hyperlink>
    </w:p>
    <w:p w:rsidR="00485F4D" w:rsidRDefault="00485F4D" w:rsidP="00821BBD">
      <w:pPr>
        <w:ind w:left="720" w:hanging="720"/>
        <w:contextualSpacing/>
      </w:pPr>
      <w:r w:rsidRPr="00485F4D">
        <w:t>Meijer, R. (2016). Citizenship in Saudi Arabia. </w:t>
      </w:r>
      <w:r w:rsidRPr="00485F4D">
        <w:rPr>
          <w:i/>
          <w:iCs/>
        </w:rPr>
        <w:t>The Middle East Journal</w:t>
      </w:r>
      <w:r w:rsidRPr="00485F4D">
        <w:t>, </w:t>
      </w:r>
      <w:r w:rsidRPr="00485F4D">
        <w:rPr>
          <w:i/>
          <w:iCs/>
        </w:rPr>
        <w:t>70</w:t>
      </w:r>
      <w:r w:rsidRPr="00485F4D">
        <w:t>(4), 667-673.</w:t>
      </w:r>
    </w:p>
    <w:p w:rsidR="004C7F80" w:rsidRDefault="004C7F80" w:rsidP="00821BBD">
      <w:pPr>
        <w:ind w:left="720" w:hanging="720"/>
        <w:contextualSpacing/>
      </w:pPr>
      <w:r w:rsidRPr="004C7F80">
        <w:t>The Civil Rights Act (1867). United States of America.</w:t>
      </w:r>
    </w:p>
    <w:p w:rsidR="00485F4D" w:rsidRDefault="00485F4D" w:rsidP="00821BBD">
      <w:pPr>
        <w:ind w:left="720" w:hanging="720"/>
        <w:contextualSpacing/>
      </w:pPr>
      <w:proofErr w:type="spellStart"/>
      <w:r w:rsidRPr="00485F4D">
        <w:t>Morrice</w:t>
      </w:r>
      <w:proofErr w:type="spellEnd"/>
      <w:r w:rsidRPr="00485F4D">
        <w:t>, L. (2016). British citizenship, gender and migration: the containment of cultural differences and the stratification of belonging. </w:t>
      </w:r>
      <w:r w:rsidRPr="00485F4D">
        <w:rPr>
          <w:i/>
          <w:iCs/>
        </w:rPr>
        <w:t xml:space="preserve">British Journal </w:t>
      </w:r>
      <w:proofErr w:type="gramStart"/>
      <w:r w:rsidRPr="00485F4D">
        <w:rPr>
          <w:i/>
          <w:iCs/>
        </w:rPr>
        <w:t>Of</w:t>
      </w:r>
      <w:proofErr w:type="gramEnd"/>
      <w:r w:rsidRPr="00485F4D">
        <w:rPr>
          <w:i/>
          <w:iCs/>
        </w:rPr>
        <w:t xml:space="preserve"> Sociology Of Education</w:t>
      </w:r>
      <w:r w:rsidRPr="00485F4D">
        <w:t>, </w:t>
      </w:r>
      <w:r w:rsidRPr="00485F4D">
        <w:rPr>
          <w:i/>
          <w:iCs/>
        </w:rPr>
        <w:t>38</w:t>
      </w:r>
      <w:r w:rsidRPr="00485F4D">
        <w:t xml:space="preserve">(5), 597-609. </w:t>
      </w:r>
      <w:hyperlink r:id="rId10" w:history="1">
        <w:r w:rsidR="004F2C49" w:rsidRPr="009711A9">
          <w:rPr>
            <w:rStyle w:val="Hyperlink"/>
          </w:rPr>
          <w:t>http://dx.doi.org/10.1080/01425692.2015.1131606</w:t>
        </w:r>
      </w:hyperlink>
    </w:p>
    <w:p w:rsidR="00485F4D" w:rsidRDefault="00485F4D" w:rsidP="00821BBD">
      <w:pPr>
        <w:ind w:left="720" w:hanging="720"/>
        <w:contextualSpacing/>
      </w:pPr>
      <w:r w:rsidRPr="00485F4D">
        <w:rPr>
          <w:i/>
          <w:iCs/>
        </w:rPr>
        <w:t>Types of British nationality: British citizenship</w:t>
      </w:r>
      <w:r w:rsidRPr="00485F4D">
        <w:t>. (2018). </w:t>
      </w:r>
      <w:r w:rsidRPr="00485F4D">
        <w:rPr>
          <w:i/>
          <w:iCs/>
        </w:rPr>
        <w:t>GOV.UK</w:t>
      </w:r>
      <w:r w:rsidRPr="00485F4D">
        <w:t xml:space="preserve">. Retrieved 21 April 2018, from </w:t>
      </w:r>
      <w:hyperlink r:id="rId11" w:history="1">
        <w:r w:rsidRPr="009711A9">
          <w:rPr>
            <w:rStyle w:val="Hyperlink"/>
          </w:rPr>
          <w:t>https://www.gov.uk/types-of-british-nationality/british-citizenship</w:t>
        </w:r>
      </w:hyperlink>
    </w:p>
    <w:p w:rsidR="00485F4D" w:rsidRDefault="00485F4D" w:rsidP="000E094C">
      <w:pPr>
        <w:contextualSpacing/>
      </w:pPr>
    </w:p>
    <w:sectPr w:rsidR="00485F4D" w:rsidSect="000E094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561" w:rsidRDefault="007D3561" w:rsidP="000E094C">
      <w:pPr>
        <w:spacing w:after="0" w:line="240" w:lineRule="auto"/>
      </w:pPr>
      <w:r>
        <w:separator/>
      </w:r>
    </w:p>
  </w:endnote>
  <w:endnote w:type="continuationSeparator" w:id="0">
    <w:p w:rsidR="007D3561" w:rsidRDefault="007D3561" w:rsidP="000E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561" w:rsidRDefault="007D3561" w:rsidP="000E094C">
      <w:pPr>
        <w:spacing w:after="0" w:line="240" w:lineRule="auto"/>
      </w:pPr>
      <w:r>
        <w:separator/>
      </w:r>
    </w:p>
  </w:footnote>
  <w:footnote w:type="continuationSeparator" w:id="0">
    <w:p w:rsidR="007D3561" w:rsidRDefault="007D3561" w:rsidP="000E09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BBD" w:rsidRDefault="00821BBD" w:rsidP="00821BBD">
    <w:pPr>
      <w:pStyle w:val="Header"/>
      <w:jc w:val="right"/>
    </w:pPr>
    <w:r w:rsidRPr="00821BBD">
      <w:t>CONSTITUTION AND THE IDENTITY OF SOPHIA THE ROBO</w:t>
    </w:r>
    <w:r>
      <w:t>T</w:t>
    </w:r>
    <w:r>
      <w:tab/>
    </w:r>
    <w:sdt>
      <w:sdtPr>
        <w:id w:val="851851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23B8">
          <w:rPr>
            <w:noProof/>
          </w:rPr>
          <w:t>5</w:t>
        </w:r>
        <w:r>
          <w:rPr>
            <w:noProof/>
          </w:rPr>
          <w:fldChar w:fldCharType="end"/>
        </w:r>
      </w:sdtContent>
    </w:sdt>
  </w:p>
  <w:p w:rsidR="000E094C" w:rsidRDefault="000E09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94C" w:rsidRDefault="000E094C">
    <w:pPr>
      <w:pStyle w:val="Header"/>
    </w:pPr>
    <w:r>
      <w:t xml:space="preserve">Running head: </w:t>
    </w:r>
    <w:r w:rsidRPr="000E094C">
      <w:t>CONSTITUTION AND THE IDENTITY OF SOPHIA THE ROBOT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EA"/>
    <w:rsid w:val="000C32C9"/>
    <w:rsid w:val="000D54A4"/>
    <w:rsid w:val="000E094C"/>
    <w:rsid w:val="0013519F"/>
    <w:rsid w:val="00141E7F"/>
    <w:rsid w:val="0016617E"/>
    <w:rsid w:val="001937EA"/>
    <w:rsid w:val="00201419"/>
    <w:rsid w:val="00220DA8"/>
    <w:rsid w:val="00227EFE"/>
    <w:rsid w:val="00236D99"/>
    <w:rsid w:val="00246303"/>
    <w:rsid w:val="00262754"/>
    <w:rsid w:val="00265B92"/>
    <w:rsid w:val="002710F0"/>
    <w:rsid w:val="002840B1"/>
    <w:rsid w:val="00285196"/>
    <w:rsid w:val="002B5867"/>
    <w:rsid w:val="002F25BC"/>
    <w:rsid w:val="003A41CC"/>
    <w:rsid w:val="003C238A"/>
    <w:rsid w:val="003E7B04"/>
    <w:rsid w:val="003F0703"/>
    <w:rsid w:val="00415265"/>
    <w:rsid w:val="00423DFF"/>
    <w:rsid w:val="00443F7C"/>
    <w:rsid w:val="004516B8"/>
    <w:rsid w:val="004723B8"/>
    <w:rsid w:val="00485F4D"/>
    <w:rsid w:val="00497582"/>
    <w:rsid w:val="004C7F80"/>
    <w:rsid w:val="004F2C49"/>
    <w:rsid w:val="004F72D9"/>
    <w:rsid w:val="005008AB"/>
    <w:rsid w:val="00505F97"/>
    <w:rsid w:val="00511883"/>
    <w:rsid w:val="0051546B"/>
    <w:rsid w:val="00523283"/>
    <w:rsid w:val="005435C5"/>
    <w:rsid w:val="00561C7E"/>
    <w:rsid w:val="005818B2"/>
    <w:rsid w:val="005855B8"/>
    <w:rsid w:val="005E164D"/>
    <w:rsid w:val="006107C9"/>
    <w:rsid w:val="00635F41"/>
    <w:rsid w:val="006D236D"/>
    <w:rsid w:val="007267C2"/>
    <w:rsid w:val="007366C6"/>
    <w:rsid w:val="00736BCE"/>
    <w:rsid w:val="0073745A"/>
    <w:rsid w:val="00755D6D"/>
    <w:rsid w:val="00756AA2"/>
    <w:rsid w:val="007A58DB"/>
    <w:rsid w:val="007D3561"/>
    <w:rsid w:val="007F01E2"/>
    <w:rsid w:val="00821BBD"/>
    <w:rsid w:val="00833DCD"/>
    <w:rsid w:val="00846655"/>
    <w:rsid w:val="00883EAC"/>
    <w:rsid w:val="008A5B12"/>
    <w:rsid w:val="008E15D4"/>
    <w:rsid w:val="008E5978"/>
    <w:rsid w:val="00905DE9"/>
    <w:rsid w:val="00982592"/>
    <w:rsid w:val="009C45AD"/>
    <w:rsid w:val="00A5340F"/>
    <w:rsid w:val="00A81D79"/>
    <w:rsid w:val="00AC03B3"/>
    <w:rsid w:val="00AE4CBF"/>
    <w:rsid w:val="00AE756B"/>
    <w:rsid w:val="00B02B11"/>
    <w:rsid w:val="00B3762C"/>
    <w:rsid w:val="00B57F07"/>
    <w:rsid w:val="00B72813"/>
    <w:rsid w:val="00BB5710"/>
    <w:rsid w:val="00BB6409"/>
    <w:rsid w:val="00C4699D"/>
    <w:rsid w:val="00CD24EC"/>
    <w:rsid w:val="00CF6883"/>
    <w:rsid w:val="00D13A6F"/>
    <w:rsid w:val="00D4087C"/>
    <w:rsid w:val="00D81EE9"/>
    <w:rsid w:val="00DB7E41"/>
    <w:rsid w:val="00DD7A33"/>
    <w:rsid w:val="00DF522F"/>
    <w:rsid w:val="00E15403"/>
    <w:rsid w:val="00E47C42"/>
    <w:rsid w:val="00EC6A47"/>
    <w:rsid w:val="00ED6749"/>
    <w:rsid w:val="00F010A1"/>
    <w:rsid w:val="00F464E1"/>
    <w:rsid w:val="00F80905"/>
    <w:rsid w:val="00F85E17"/>
    <w:rsid w:val="00FB0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74D4D-467B-4C88-8F41-F081702D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F80"/>
    <w:rPr>
      <w:color w:val="0563C1" w:themeColor="hyperlink"/>
      <w:u w:val="single"/>
    </w:rPr>
  </w:style>
  <w:style w:type="paragraph" w:styleId="Header">
    <w:name w:val="header"/>
    <w:basedOn w:val="Normal"/>
    <w:link w:val="HeaderChar"/>
    <w:uiPriority w:val="99"/>
    <w:unhideWhenUsed/>
    <w:rsid w:val="000E0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4C"/>
  </w:style>
  <w:style w:type="paragraph" w:styleId="Footer">
    <w:name w:val="footer"/>
    <w:basedOn w:val="Normal"/>
    <w:link w:val="FooterChar"/>
    <w:uiPriority w:val="99"/>
    <w:unhideWhenUsed/>
    <w:rsid w:val="000E0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law/help/citizenship/fourteenth_amendment_citizenship.php"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ncyclopedia.com/politics/encyclopedias-almanacs-transcripts-and-maps/citizenship-historical-development"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3102/0013189x17726741" TargetMode="External"/><Relationship Id="rId11" Type="http://schemas.openxmlformats.org/officeDocument/2006/relationships/hyperlink" Target="https://www.gov.uk/types-of-british-nationality/british-citizenship"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dx.doi.org/10.1080/01425692.2015.1131606" TargetMode="External"/><Relationship Id="rId4" Type="http://schemas.openxmlformats.org/officeDocument/2006/relationships/footnotes" Target="footnotes.xml"/><Relationship Id="rId9" Type="http://schemas.openxmlformats.org/officeDocument/2006/relationships/hyperlink" Target="https://www.quora.com/How-difficult-is-it-to-become-a-citizen-of-Saudi-Arab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dc:creator>
  <cp:keywords/>
  <dc:description/>
  <cp:lastModifiedBy>Windows User</cp:lastModifiedBy>
  <cp:revision>2</cp:revision>
  <dcterms:created xsi:type="dcterms:W3CDTF">2018-04-21T11:32:00Z</dcterms:created>
  <dcterms:modified xsi:type="dcterms:W3CDTF">2018-04-21T11:32:00Z</dcterms:modified>
</cp:coreProperties>
</file>